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DE014F" w:rsidRPr="00DE014F" w:rsidTr="00414D67">
        <w:trPr>
          <w:trHeight w:val="1085"/>
        </w:trPr>
        <w:tc>
          <w:tcPr>
            <w:tcW w:w="4132" w:type="dxa"/>
          </w:tcPr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  <w:t>Баш7ортостан Республика3ы</w:t>
            </w:r>
          </w:p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  <w:t>Салауат районы</w:t>
            </w:r>
          </w:p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  <w:t>муниципаль районыны8</w:t>
            </w:r>
          </w:p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  <w:t>Ми2ш2г2р ауыл Советы</w:t>
            </w:r>
          </w:p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01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E0B0D3" wp14:editId="25EC857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012619858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DE014F" w:rsidRPr="00DE014F" w:rsidRDefault="00DE014F" w:rsidP="00DE014F">
            <w:pPr>
              <w:spacing w:after="0" w:line="240" w:lineRule="auto"/>
              <w:ind w:left="-20"/>
              <w:jc w:val="center"/>
              <w:rPr>
                <w:rFonts w:ascii="Times Cyr Bash Normal" w:eastAsia="Times New Roman" w:hAnsi="Times Cyr Bash Normal" w:cs="Arial"/>
                <w:sz w:val="20"/>
                <w:szCs w:val="24"/>
              </w:rPr>
            </w:pPr>
            <w:r w:rsidRPr="00DE014F">
              <w:rPr>
                <w:rFonts w:ascii="Times Cyr Bash Normal" w:eastAsia="Times New Roman" w:hAnsi="Times Cyr Bash Normal" w:cs="Arial"/>
                <w:sz w:val="20"/>
                <w:szCs w:val="24"/>
              </w:rPr>
              <w:t>Республика Башкортостан</w:t>
            </w:r>
          </w:p>
          <w:p w:rsidR="00DE014F" w:rsidRPr="00DE014F" w:rsidRDefault="00DE014F" w:rsidP="00DE014F">
            <w:pPr>
              <w:spacing w:after="0" w:line="240" w:lineRule="auto"/>
              <w:ind w:left="-20"/>
              <w:jc w:val="center"/>
              <w:rPr>
                <w:rFonts w:ascii="Times Cyr Bash Normal" w:eastAsia="Times New Roman" w:hAnsi="Times Cyr Bash Normal" w:cs="Arial"/>
                <w:sz w:val="20"/>
                <w:szCs w:val="24"/>
              </w:rPr>
            </w:pPr>
            <w:r w:rsidRPr="00DE014F">
              <w:rPr>
                <w:rFonts w:ascii="Times Cyr Bash Normal" w:eastAsia="Times New Roman" w:hAnsi="Times Cyr Bash Normal" w:cs="Arial"/>
                <w:sz w:val="20"/>
                <w:szCs w:val="24"/>
              </w:rPr>
              <w:t>Администрация сельского поселения</w:t>
            </w:r>
          </w:p>
          <w:p w:rsidR="00DE014F" w:rsidRPr="00DE014F" w:rsidRDefault="00DE014F" w:rsidP="00DE014F">
            <w:pPr>
              <w:spacing w:after="0" w:line="240" w:lineRule="auto"/>
              <w:ind w:left="-20"/>
              <w:jc w:val="center"/>
              <w:rPr>
                <w:rFonts w:ascii="Times Cyr Bash Normal" w:eastAsia="Times New Roman" w:hAnsi="Times Cyr Bash Normal" w:cs="Arial"/>
                <w:sz w:val="20"/>
                <w:szCs w:val="24"/>
              </w:rPr>
            </w:pPr>
            <w:r w:rsidRPr="00DE014F">
              <w:rPr>
                <w:rFonts w:ascii="Times Cyr Bash Normal" w:eastAsia="Times New Roman" w:hAnsi="Times Cyr Bash Normal" w:cs="Arial"/>
                <w:sz w:val="20"/>
                <w:szCs w:val="24"/>
              </w:rPr>
              <w:t>Мещегаровский сельсовет</w:t>
            </w:r>
          </w:p>
          <w:p w:rsidR="00DE014F" w:rsidRPr="00DE014F" w:rsidRDefault="00DE014F" w:rsidP="00DE014F">
            <w:pPr>
              <w:spacing w:after="0" w:line="240" w:lineRule="auto"/>
              <w:ind w:left="-20"/>
              <w:jc w:val="center"/>
              <w:rPr>
                <w:rFonts w:ascii="Times Cyr Bash Normal" w:eastAsia="Times New Roman" w:hAnsi="Times Cyr Bash Normal" w:cs="Arial"/>
                <w:sz w:val="20"/>
                <w:szCs w:val="24"/>
              </w:rPr>
            </w:pPr>
            <w:r w:rsidRPr="00DE014F">
              <w:rPr>
                <w:rFonts w:ascii="Times Cyr Bash Normal" w:eastAsia="Times New Roman" w:hAnsi="Times Cyr Bash Normal" w:cs="Arial"/>
                <w:sz w:val="20"/>
                <w:szCs w:val="24"/>
              </w:rPr>
              <w:t>муниципального района</w:t>
            </w:r>
          </w:p>
          <w:p w:rsidR="00DE014F" w:rsidRPr="00DE014F" w:rsidRDefault="00DE014F" w:rsidP="00DE014F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E014F">
              <w:rPr>
                <w:rFonts w:ascii="Times Cyr Bash Normal" w:eastAsia="Times New Roman" w:hAnsi="Times Cyr Bash Normal" w:cs="Arial"/>
                <w:sz w:val="20"/>
                <w:szCs w:val="24"/>
              </w:rPr>
              <w:t>Мещегаровский район</w:t>
            </w:r>
          </w:p>
        </w:tc>
      </w:tr>
      <w:tr w:rsidR="00DE014F" w:rsidRPr="00DE014F" w:rsidTr="00414D67">
        <w:tc>
          <w:tcPr>
            <w:tcW w:w="4132" w:type="dxa"/>
          </w:tcPr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  <w:t>452495</w:t>
            </w:r>
            <w:r w:rsidRPr="00DE014F"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  <w:t>, Ми</w:t>
            </w:r>
            <w:r w:rsidRPr="00DE014F">
              <w:rPr>
                <w:rFonts w:ascii="Times Cyr Bash Normal" w:eastAsia="Times New Roman" w:hAnsi="Times Cyr Bash Normal" w:cs="Times New Roman"/>
                <w:sz w:val="20"/>
                <w:szCs w:val="24"/>
                <w:lang w:val="be-BY"/>
              </w:rPr>
              <w:t>2ш2г2р ауылы,Ленин урамы,</w:t>
            </w:r>
          </w:p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a_Helver(10%) Bashkir" w:eastAsia="Times New Roman" w:hAnsi="a_Helver(10%) Bashkir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  <w:t>14 йорт</w:t>
            </w:r>
          </w:p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DE014F" w:rsidRPr="00DE014F" w:rsidRDefault="00DE014F" w:rsidP="00DE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140" w:type="dxa"/>
          </w:tcPr>
          <w:p w:rsidR="00DE014F" w:rsidRPr="00DE014F" w:rsidRDefault="00DE014F" w:rsidP="00DE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</w:pPr>
            <w:r w:rsidRPr="00DE014F"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  <w:t>452495, с.Мещегарово, ул.Ленина, 14</w:t>
            </w:r>
          </w:p>
          <w:p w:rsidR="00DE014F" w:rsidRPr="00DE014F" w:rsidRDefault="00DE014F" w:rsidP="00DE014F">
            <w:pPr>
              <w:spacing w:after="0" w:line="240" w:lineRule="auto"/>
              <w:ind w:left="-20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DE014F">
              <w:rPr>
                <w:rFonts w:ascii="Times New Roman" w:eastAsia="Times New Roman" w:hAnsi="Times New Roman" w:cs="Times New Roman"/>
                <w:sz w:val="20"/>
                <w:szCs w:val="24"/>
                <w:lang w:val="be-BY"/>
              </w:rPr>
              <w:t>тел. (34777) 2-61-23, 2-61-44</w:t>
            </w:r>
          </w:p>
        </w:tc>
      </w:tr>
    </w:tbl>
    <w:p w:rsidR="00DE014F" w:rsidRPr="00DE014F" w:rsidRDefault="00DE014F" w:rsidP="00DE014F">
      <w:pPr>
        <w:spacing w:after="0" w:line="240" w:lineRule="auto"/>
        <w:jc w:val="center"/>
        <w:rPr>
          <w:rFonts w:ascii="TimBashk" w:eastAsia="Times New Roman" w:hAnsi="TimBashk" w:cs="Times New Roman"/>
          <w:sz w:val="20"/>
          <w:szCs w:val="24"/>
        </w:rPr>
      </w:pPr>
    </w:p>
    <w:p w:rsidR="00DE014F" w:rsidRPr="00DE014F" w:rsidRDefault="00DE014F" w:rsidP="00DE0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DE014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9E98B" wp14:editId="4611713B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28575" t="31750" r="28575" b="34925"/>
                <wp:wrapSquare wrapText="bothSides"/>
                <wp:docPr id="57841291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60AE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:rsidR="00DE014F" w:rsidRPr="00DE014F" w:rsidRDefault="00DE014F" w:rsidP="00DE0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014F">
        <w:rPr>
          <w:rFonts w:ascii="Times New Roman" w:eastAsia="Times New Roman" w:hAnsi="Times New Roman" w:cs="Times New Roman"/>
          <w:sz w:val="28"/>
          <w:szCs w:val="28"/>
        </w:rPr>
        <w:t xml:space="preserve">КАРАР                                                                    ПОСТАНОВЛЕНИЕ           </w:t>
      </w:r>
    </w:p>
    <w:p w:rsidR="007C0289" w:rsidRPr="00827964" w:rsidRDefault="007C0289" w:rsidP="007C0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796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eastAsia="Arial Unicode MS" w:hAnsi="Times New Roman"/>
          <w:sz w:val="28"/>
          <w:szCs w:val="28"/>
          <w:lang w:val="be-BY"/>
        </w:rPr>
        <w:t>19</w:t>
      </w:r>
      <w:r w:rsidRPr="00827964">
        <w:rPr>
          <w:rFonts w:ascii="Times New Roman" w:eastAsia="Arial Unicode MS" w:hAnsi="Times New Roman"/>
          <w:sz w:val="28"/>
          <w:szCs w:val="28"/>
          <w:lang w:val="be-BY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val="be-BY"/>
        </w:rPr>
        <w:t>декабрь</w:t>
      </w:r>
      <w:r w:rsidRPr="00827964">
        <w:rPr>
          <w:rFonts w:ascii="Times New Roman" w:eastAsia="Arial Unicode MS" w:hAnsi="Times New Roman"/>
          <w:sz w:val="28"/>
          <w:szCs w:val="28"/>
        </w:rPr>
        <w:t xml:space="preserve"> 2024 й.                         № 5</w:t>
      </w:r>
      <w:r w:rsidR="0047524F">
        <w:rPr>
          <w:rFonts w:ascii="Times New Roman" w:eastAsia="Arial Unicode MS" w:hAnsi="Times New Roman"/>
          <w:sz w:val="28"/>
          <w:szCs w:val="28"/>
        </w:rPr>
        <w:t>2</w:t>
      </w:r>
      <w:r w:rsidRPr="00827964">
        <w:rPr>
          <w:rFonts w:ascii="Times New Roman" w:eastAsia="Arial Unicode MS" w:hAnsi="Times New Roman"/>
          <w:sz w:val="28"/>
          <w:szCs w:val="28"/>
        </w:rPr>
        <w:t xml:space="preserve">                         </w:t>
      </w:r>
      <w:r>
        <w:rPr>
          <w:rFonts w:ascii="Times New Roman" w:eastAsia="Arial Unicode MS" w:hAnsi="Times New Roman"/>
          <w:sz w:val="28"/>
          <w:szCs w:val="28"/>
        </w:rPr>
        <w:t>19</w:t>
      </w:r>
      <w:r w:rsidRPr="00827964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дека</w:t>
      </w:r>
      <w:r w:rsidRPr="00827964">
        <w:rPr>
          <w:rFonts w:ascii="Times New Roman" w:eastAsia="Arial Unicode MS" w:hAnsi="Times New Roman"/>
          <w:sz w:val="28"/>
          <w:szCs w:val="28"/>
        </w:rPr>
        <w:t>бря 2024 г.</w:t>
      </w:r>
      <w:r w:rsidRPr="00827964">
        <w:rPr>
          <w:rFonts w:ascii="Times New Roman" w:hAnsi="Times New Roman"/>
          <w:sz w:val="28"/>
          <w:szCs w:val="28"/>
        </w:rPr>
        <w:t xml:space="preserve"> </w:t>
      </w:r>
    </w:p>
    <w:p w:rsidR="00DE014F" w:rsidRPr="00DE014F" w:rsidRDefault="00DE014F" w:rsidP="007C0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14F" w:rsidRDefault="00DE014F" w:rsidP="00DE014F">
      <w:pPr>
        <w:pStyle w:val="ConsPlusTitle"/>
        <w:jc w:val="right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8F6BE3" w:rsidRPr="008C6BC8" w:rsidRDefault="008F6BE3" w:rsidP="00DE01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 w:rsidRPr="00180B92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 w:rsidRPr="00180B92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180B9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 w:rsidRPr="00180B92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 w:rsidRPr="00180B92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 w:rsidRPr="00180B92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180B9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8F6BE3" w:rsidRPr="008C6BC8" w:rsidRDefault="008F6BE3" w:rsidP="00DE014F">
      <w:pPr>
        <w:pStyle w:val="ConsPlusNormal"/>
        <w:jc w:val="center"/>
        <w:rPr>
          <w:sz w:val="28"/>
          <w:szCs w:val="28"/>
        </w:rPr>
      </w:pPr>
    </w:p>
    <w:p w:rsidR="00180B92" w:rsidRPr="008C6BC8" w:rsidRDefault="00180B92" w:rsidP="00180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Мещегаровский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Pr="00E50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Салаватский район</w:t>
      </w:r>
      <w:r w:rsidRPr="00E50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О бюджетном процессе в муниципальном районе Салаватски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район Республики Башкортостан»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Мещегаровский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Pr="00E50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Салаватский район Республики Башкортостан</w:t>
      </w:r>
    </w:p>
    <w:p w:rsidR="00180B92" w:rsidRPr="008C6BC8" w:rsidRDefault="00180B92" w:rsidP="00180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Мещегаровский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Мещегаровский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5A3ACF" w:rsidRPr="00DE014F" w:rsidRDefault="005A3ACF" w:rsidP="00DE0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 Постановление</w:t>
      </w:r>
      <w:r w:rsidR="00FE0B5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муниципального района Салаватский район Республики Башкортостан от 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15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марта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2021 года № 0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Мещегаровский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DE014F" w:rsidRP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Мещегаровский</w:t>
      </w:r>
      <w:r w:rsidR="00D862FA" w:rsidRP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</w:t>
      </w:r>
      <w:r w:rsidRPr="00DE01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433A" w:rsidRPr="00DE0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="00DE01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DE014F" w:rsidRPr="00DE014F" w:rsidRDefault="00DE014F" w:rsidP="00DE0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F"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с момента его подписания.                          </w:t>
      </w:r>
    </w:p>
    <w:p w:rsidR="00DE014F" w:rsidRPr="00DE014F" w:rsidRDefault="00DE014F" w:rsidP="00DE014F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DE014F">
        <w:rPr>
          <w:sz w:val="28"/>
          <w:szCs w:val="28"/>
        </w:rPr>
        <w:t>4</w:t>
      </w:r>
      <w:r w:rsidRPr="00DE014F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DE014F" w:rsidRDefault="00DE014F" w:rsidP="00DE014F">
      <w:pPr>
        <w:pStyle w:val="a5"/>
        <w:ind w:firstLine="708"/>
        <w:jc w:val="both"/>
        <w:rPr>
          <w:sz w:val="28"/>
          <w:szCs w:val="28"/>
        </w:rPr>
      </w:pPr>
    </w:p>
    <w:p w:rsidR="00DE014F" w:rsidRDefault="00DE014F" w:rsidP="00DE014F">
      <w:pPr>
        <w:pStyle w:val="a5"/>
        <w:ind w:firstLine="708"/>
        <w:jc w:val="both"/>
        <w:rPr>
          <w:sz w:val="28"/>
          <w:szCs w:val="28"/>
        </w:rPr>
      </w:pPr>
    </w:p>
    <w:p w:rsidR="00DE014F" w:rsidRPr="00DE014F" w:rsidRDefault="00DE014F" w:rsidP="00DE014F">
      <w:pPr>
        <w:pStyle w:val="a5"/>
        <w:ind w:firstLine="708"/>
        <w:jc w:val="both"/>
        <w:rPr>
          <w:sz w:val="28"/>
          <w:szCs w:val="28"/>
        </w:rPr>
      </w:pPr>
    </w:p>
    <w:p w:rsidR="00DE014F" w:rsidRDefault="00DE014F" w:rsidP="00DE014F">
      <w:pPr>
        <w:pStyle w:val="a7"/>
        <w:spacing w:line="480" w:lineRule="auto"/>
        <w:ind w:left="-284" w:firstLine="709"/>
        <w:rPr>
          <w:iCs/>
          <w:szCs w:val="28"/>
        </w:rPr>
      </w:pPr>
      <w:r>
        <w:rPr>
          <w:iCs/>
          <w:szCs w:val="28"/>
        </w:rPr>
        <w:t xml:space="preserve">Глава сельского поселения                  </w:t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</w:r>
      <w:r>
        <w:rPr>
          <w:iCs/>
          <w:szCs w:val="28"/>
        </w:rPr>
        <w:tab/>
        <w:t>И.У. Сафина</w:t>
      </w:r>
    </w:p>
    <w:p w:rsidR="00DE014F" w:rsidRDefault="00DE014F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251" w:rsidRDefault="009C2251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142B" w:rsidRPr="00C3142B" w:rsidRDefault="00C3142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C3142B" w:rsidRPr="00C3142B" w:rsidRDefault="00C3142B" w:rsidP="004F16A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80B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Мещегаровский сельсовет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C3142B" w:rsidRPr="00C3142B" w:rsidRDefault="00C3142B" w:rsidP="00DE014F">
      <w:pPr>
        <w:autoSpaceDE w:val="0"/>
        <w:autoSpaceDN w:val="0"/>
        <w:adjustRightInd w:val="0"/>
        <w:spacing w:after="0" w:line="240" w:lineRule="auto"/>
        <w:ind w:left="4678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 район РБ</w:t>
      </w:r>
    </w:p>
    <w:p w:rsidR="00C3142B" w:rsidRPr="00C3142B" w:rsidRDefault="004F16AE" w:rsidP="004F16A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180B92">
        <w:rPr>
          <w:rFonts w:ascii="Times New Roman" w:eastAsia="Calibri" w:hAnsi="Times New Roman" w:cs="Times New Roman"/>
          <w:sz w:val="28"/>
          <w:szCs w:val="28"/>
          <w:lang w:eastAsia="en-US"/>
        </w:rPr>
        <w:t>19 декабря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 г. </w:t>
      </w:r>
      <w:r w:rsidR="00180B92">
        <w:rPr>
          <w:rFonts w:ascii="Times New Roman" w:eastAsia="Calibri" w:hAnsi="Times New Roman" w:cs="Times New Roman"/>
          <w:sz w:val="28"/>
          <w:szCs w:val="28"/>
          <w:lang w:eastAsia="en-US"/>
        </w:rPr>
        <w:t>№ 52</w:t>
      </w:r>
    </w:p>
    <w:p w:rsidR="00C87000" w:rsidRPr="008C6BC8" w:rsidRDefault="00C87000" w:rsidP="004F16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123"/>
        <w:gridCol w:w="12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1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r w:rsidR="00DE014F">
        <w:rPr>
          <w:sz w:val="28"/>
          <w:szCs w:val="28"/>
        </w:rPr>
        <w:t>Мещегаровский</w:t>
      </w:r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(далее - получатели средств) в пределах доведенных лимитов бюджетных обязательств;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r w:rsidR="00DE014F">
        <w:rPr>
          <w:sz w:val="28"/>
          <w:szCs w:val="28"/>
        </w:rPr>
        <w:lastRenderedPageBreak/>
        <w:t>Мещегаровский</w:t>
      </w:r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</w:t>
      </w:r>
      <w:r w:rsidR="00DE014F">
        <w:rPr>
          <w:sz w:val="28"/>
          <w:szCs w:val="28"/>
        </w:rPr>
        <w:t xml:space="preserve">Администрации </w:t>
      </w:r>
      <w:r w:rsidR="00D862FA">
        <w:rPr>
          <w:sz w:val="28"/>
          <w:szCs w:val="28"/>
        </w:rPr>
        <w:t xml:space="preserve">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DE014F">
        <w:rPr>
          <w:sz w:val="28"/>
          <w:szCs w:val="28"/>
        </w:rPr>
        <w:t>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A55AC0" w:rsidRPr="008C6BC8">
        <w:rPr>
          <w:sz w:val="28"/>
          <w:szCs w:val="28"/>
        </w:rPr>
        <w:t>»</w:t>
      </w:r>
      <w:r w:rsidR="00DE014F">
        <w:rPr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DE014F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DE014F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374918" w:rsidRPr="008C6BC8" w:rsidRDefault="00374918" w:rsidP="00DE014F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DE014F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DE014F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2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r w:rsidR="00DE014F">
        <w:rPr>
          <w:sz w:val="28"/>
          <w:szCs w:val="28"/>
        </w:rPr>
        <w:t>Мещегаровский</w:t>
      </w:r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DE014F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DE014F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5520CE" w:rsidRDefault="00374918" w:rsidP="00DE014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</w:t>
      </w:r>
      <w:r w:rsidRPr="008C6BC8">
        <w:rPr>
          <w:sz w:val="28"/>
          <w:szCs w:val="28"/>
        </w:rPr>
        <w:lastRenderedPageBreak/>
        <w:t xml:space="preserve">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r w:rsidR="00DE014F">
        <w:rPr>
          <w:sz w:val="28"/>
          <w:szCs w:val="28"/>
        </w:rPr>
        <w:t>Мещегаровский</w:t>
      </w:r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</w:t>
      </w:r>
      <w:r w:rsidR="007D4805" w:rsidRPr="005520CE">
        <w:rPr>
          <w:color w:val="000000" w:themeColor="text1"/>
          <w:sz w:val="28"/>
          <w:szCs w:val="28"/>
        </w:rPr>
        <w:t xml:space="preserve">района Салаватский район Республики Башкортостан. </w:t>
      </w:r>
    </w:p>
    <w:p w:rsidR="00374918" w:rsidRPr="005520CE" w:rsidRDefault="00374918" w:rsidP="00BA380E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5520CE">
        <w:rPr>
          <w:color w:val="000000" w:themeColor="text1"/>
          <w:sz w:val="28"/>
          <w:szCs w:val="28"/>
        </w:rPr>
        <w:t xml:space="preserve">13. Для оплаты денежных обязательств клиенты представляют в </w:t>
      </w:r>
      <w:r w:rsidR="00B63A5F" w:rsidRPr="005520CE">
        <w:rPr>
          <w:color w:val="000000" w:themeColor="text1"/>
          <w:sz w:val="28"/>
          <w:szCs w:val="28"/>
        </w:rPr>
        <w:t>Администрацию СП</w:t>
      </w:r>
      <w:r w:rsidRPr="005520CE">
        <w:rPr>
          <w:color w:val="000000" w:themeColor="text1"/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5520CE">
          <w:rPr>
            <w:color w:val="000000" w:themeColor="text1"/>
            <w:sz w:val="28"/>
            <w:szCs w:val="28"/>
          </w:rPr>
          <w:t>реквизиты</w:t>
        </w:r>
      </w:hyperlink>
      <w:r w:rsidRPr="005520CE">
        <w:rPr>
          <w:color w:val="000000" w:themeColor="text1"/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hyperlink r:id="rId14" w:history="1">
        <w:r w:rsidRPr="005520CE">
          <w:rPr>
            <w:color w:val="000000" w:themeColor="text1"/>
            <w:sz w:val="28"/>
            <w:szCs w:val="28"/>
          </w:rPr>
          <w:t>Положением</w:t>
        </w:r>
      </w:hyperlink>
      <w:r w:rsidRPr="005520CE">
        <w:rPr>
          <w:color w:val="000000" w:themeColor="text1"/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5" w:history="1">
        <w:r w:rsidRPr="005520CE">
          <w:rPr>
            <w:color w:val="000000" w:themeColor="text1"/>
            <w:sz w:val="28"/>
            <w:szCs w:val="28"/>
          </w:rPr>
          <w:t>Положением</w:t>
        </w:r>
      </w:hyperlink>
      <w:r w:rsidRPr="005520CE">
        <w:rPr>
          <w:color w:val="000000" w:themeColor="text1"/>
          <w:sz w:val="28"/>
          <w:szCs w:val="28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5520CE">
          <w:rPr>
            <w:color w:val="000000" w:themeColor="text1"/>
            <w:sz w:val="28"/>
            <w:szCs w:val="28"/>
          </w:rPr>
          <w:t>реквизиты</w:t>
        </w:r>
      </w:hyperlink>
      <w:r w:rsidRPr="005520CE">
        <w:rPr>
          <w:color w:val="000000" w:themeColor="text1"/>
          <w:sz w:val="28"/>
          <w:szCs w:val="28"/>
        </w:rPr>
        <w:t xml:space="preserve"> которого предусмотрены приложением N 2 к настоящему Порядку.</w:t>
      </w:r>
    </w:p>
    <w:p w:rsidR="00374918" w:rsidRPr="008C6BC8" w:rsidRDefault="00B63A5F" w:rsidP="00BA380E">
      <w:pPr>
        <w:pStyle w:val="ConsPlusNormal"/>
        <w:ind w:firstLine="539"/>
        <w:jc w:val="both"/>
        <w:rPr>
          <w:sz w:val="28"/>
          <w:szCs w:val="28"/>
        </w:rPr>
      </w:pPr>
      <w:r w:rsidRPr="005520CE">
        <w:rPr>
          <w:color w:val="000000" w:themeColor="text1"/>
          <w:sz w:val="28"/>
          <w:szCs w:val="28"/>
        </w:rPr>
        <w:t>Администрация СП</w:t>
      </w:r>
      <w:r w:rsidR="00374918" w:rsidRPr="005520CE">
        <w:rPr>
          <w:color w:val="000000" w:themeColor="text1"/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6" w:history="1">
        <w:r w:rsidR="00374918" w:rsidRPr="005520CE">
          <w:rPr>
            <w:color w:val="000000" w:themeColor="text1"/>
            <w:sz w:val="28"/>
            <w:szCs w:val="28"/>
          </w:rPr>
          <w:t>Порядком</w:t>
        </w:r>
      </w:hyperlink>
      <w:r w:rsidR="00374918" w:rsidRPr="005520CE">
        <w:rPr>
          <w:color w:val="000000" w:themeColor="text1"/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 w:rsidRPr="005520CE">
        <w:rPr>
          <w:color w:val="000000" w:themeColor="text1"/>
          <w:sz w:val="28"/>
          <w:szCs w:val="28"/>
        </w:rPr>
        <w:t xml:space="preserve">бюджета сельского поселения </w:t>
      </w:r>
      <w:r w:rsidR="00DE014F" w:rsidRPr="005520CE">
        <w:rPr>
          <w:color w:val="000000" w:themeColor="text1"/>
          <w:sz w:val="28"/>
          <w:szCs w:val="28"/>
        </w:rPr>
        <w:t>Мещегаровский</w:t>
      </w:r>
      <w:r w:rsidR="00D862FA" w:rsidRPr="005520CE">
        <w:rPr>
          <w:color w:val="000000" w:themeColor="text1"/>
          <w:sz w:val="28"/>
          <w:szCs w:val="28"/>
        </w:rPr>
        <w:t xml:space="preserve"> сельсовет</w:t>
      </w:r>
      <w:r w:rsidR="00374918" w:rsidRPr="005520CE">
        <w:rPr>
          <w:color w:val="000000" w:themeColor="text1"/>
          <w:sz w:val="28"/>
          <w:szCs w:val="28"/>
        </w:rPr>
        <w:t xml:space="preserve"> </w:t>
      </w:r>
      <w:r w:rsidR="007D4805" w:rsidRPr="005520CE">
        <w:rPr>
          <w:color w:val="000000" w:themeColor="text1"/>
          <w:sz w:val="28"/>
          <w:szCs w:val="28"/>
        </w:rPr>
        <w:t xml:space="preserve">муниципального района Салаватский район </w:t>
      </w:r>
      <w:r w:rsidR="00374918" w:rsidRPr="005520CE">
        <w:rPr>
          <w:color w:val="000000" w:themeColor="text1"/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 w:rsidRPr="005520CE">
        <w:rPr>
          <w:color w:val="000000" w:themeColor="text1"/>
          <w:sz w:val="28"/>
          <w:szCs w:val="28"/>
        </w:rPr>
        <w:t xml:space="preserve">бюджета </w:t>
      </w:r>
      <w:r w:rsidR="00D862FA">
        <w:rPr>
          <w:sz w:val="28"/>
          <w:szCs w:val="28"/>
        </w:rPr>
        <w:t xml:space="preserve">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r w:rsidR="00DE014F">
        <w:rPr>
          <w:sz w:val="28"/>
          <w:szCs w:val="28"/>
        </w:rPr>
        <w:t>Мещегаровский</w:t>
      </w:r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 Республики </w:t>
      </w:r>
      <w:r w:rsidR="007D4805" w:rsidRPr="005520CE">
        <w:rPr>
          <w:sz w:val="28"/>
          <w:szCs w:val="28"/>
        </w:rPr>
        <w:t>Башкортостан</w:t>
      </w:r>
      <w:r w:rsidR="00374918" w:rsidRPr="005520CE">
        <w:rPr>
          <w:sz w:val="28"/>
          <w:szCs w:val="28"/>
        </w:rPr>
        <w:t xml:space="preserve"> от </w:t>
      </w:r>
      <w:r w:rsidR="005520CE" w:rsidRPr="005520CE">
        <w:rPr>
          <w:sz w:val="28"/>
          <w:szCs w:val="28"/>
        </w:rPr>
        <w:t>19.12.2024</w:t>
      </w:r>
      <w:r w:rsidR="00374918" w:rsidRPr="005520CE">
        <w:rPr>
          <w:sz w:val="28"/>
          <w:szCs w:val="28"/>
        </w:rPr>
        <w:t xml:space="preserve"> года </w:t>
      </w:r>
      <w:r w:rsidR="005520CE" w:rsidRPr="005520CE">
        <w:rPr>
          <w:sz w:val="28"/>
          <w:szCs w:val="28"/>
        </w:rPr>
        <w:t xml:space="preserve">53 </w:t>
      </w:r>
      <w:r w:rsidR="00374918" w:rsidRPr="005520CE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BA380E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BA380E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не превышением</w:t>
      </w:r>
      <w:r w:rsidR="00374918"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пределах доведенных до </w:t>
      </w:r>
      <w:r w:rsidRPr="008C6BC8">
        <w:rPr>
          <w:sz w:val="28"/>
          <w:szCs w:val="28"/>
        </w:rPr>
        <w:lastRenderedPageBreak/>
        <w:t>получателя средств лимитов бюджетных обязательств.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374918" w:rsidRPr="005520CE" w:rsidRDefault="00374918" w:rsidP="00BA380E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 w:rsidRPr="005520CE">
        <w:rPr>
          <w:color w:val="000000" w:themeColor="text1"/>
          <w:sz w:val="28"/>
          <w:szCs w:val="28"/>
        </w:rPr>
        <w:t xml:space="preserve">бюджета сельского поселения </w:t>
      </w:r>
      <w:r w:rsidR="00DE014F" w:rsidRPr="005520CE">
        <w:rPr>
          <w:color w:val="000000" w:themeColor="text1"/>
          <w:sz w:val="28"/>
          <w:szCs w:val="28"/>
        </w:rPr>
        <w:t>Мещегаровский</w:t>
      </w:r>
      <w:r w:rsidR="00D862FA" w:rsidRPr="005520CE">
        <w:rPr>
          <w:color w:val="000000" w:themeColor="text1"/>
          <w:sz w:val="28"/>
          <w:szCs w:val="28"/>
        </w:rPr>
        <w:t xml:space="preserve"> сельсовет</w:t>
      </w:r>
      <w:r w:rsidRPr="005520CE">
        <w:rPr>
          <w:color w:val="000000" w:themeColor="text1"/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 w:rsidRPr="005520CE">
        <w:rPr>
          <w:color w:val="000000" w:themeColor="text1"/>
          <w:sz w:val="28"/>
          <w:szCs w:val="28"/>
        </w:rPr>
        <w:t xml:space="preserve">бюджета сельского поселения </w:t>
      </w:r>
      <w:r w:rsidR="00DE014F" w:rsidRPr="005520CE">
        <w:rPr>
          <w:color w:val="000000" w:themeColor="text1"/>
          <w:sz w:val="28"/>
          <w:szCs w:val="28"/>
        </w:rPr>
        <w:t>Мещегаровский</w:t>
      </w:r>
      <w:r w:rsidR="00D862FA" w:rsidRPr="005520CE">
        <w:rPr>
          <w:color w:val="000000" w:themeColor="text1"/>
          <w:sz w:val="28"/>
          <w:szCs w:val="28"/>
        </w:rPr>
        <w:t xml:space="preserve"> сельсовет</w:t>
      </w:r>
      <w:r w:rsidR="00F16BE5" w:rsidRPr="005520CE">
        <w:rPr>
          <w:color w:val="000000" w:themeColor="text1"/>
          <w:sz w:val="28"/>
          <w:szCs w:val="28"/>
        </w:rPr>
        <w:t xml:space="preserve"> муниципального района Салаватский район</w:t>
      </w:r>
      <w:r w:rsidRPr="005520CE">
        <w:rPr>
          <w:color w:val="000000" w:themeColor="text1"/>
          <w:sz w:val="28"/>
          <w:szCs w:val="28"/>
        </w:rPr>
        <w:t xml:space="preserve"> Республики Башкортостан бюджетных ассигнований.</w:t>
      </w:r>
    </w:p>
    <w:p w:rsidR="00374918" w:rsidRPr="005520CE" w:rsidRDefault="00374918" w:rsidP="00BA380E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5520CE">
        <w:rPr>
          <w:color w:val="000000" w:themeColor="text1"/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7" w:history="1">
        <w:r w:rsidRPr="005520CE">
          <w:rPr>
            <w:color w:val="000000" w:themeColor="text1"/>
            <w:sz w:val="28"/>
            <w:szCs w:val="28"/>
          </w:rPr>
          <w:t>Порядком</w:t>
        </w:r>
      </w:hyperlink>
      <w:r w:rsidRPr="005520CE">
        <w:rPr>
          <w:color w:val="000000" w:themeColor="text1"/>
          <w:sz w:val="28"/>
          <w:szCs w:val="28"/>
        </w:rPr>
        <w:t xml:space="preserve"> санкционирования.</w:t>
      </w:r>
    </w:p>
    <w:p w:rsidR="00374918" w:rsidRPr="005520CE" w:rsidRDefault="00374918" w:rsidP="00BA380E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5520CE">
        <w:rPr>
          <w:color w:val="000000" w:themeColor="text1"/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 w:rsidRPr="005520CE">
        <w:rPr>
          <w:color w:val="000000" w:themeColor="text1"/>
          <w:sz w:val="28"/>
          <w:szCs w:val="28"/>
        </w:rPr>
        <w:t>Администрацией СП</w:t>
      </w:r>
      <w:r w:rsidRPr="005520CE">
        <w:rPr>
          <w:color w:val="000000" w:themeColor="text1"/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5520CE" w:rsidRDefault="00374918" w:rsidP="00374918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520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V. Подтверждение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DE014F">
        <w:rPr>
          <w:rFonts w:ascii="Times New Roman" w:hAnsi="Times New Roman" w:cs="Times New Roman"/>
          <w:b w:val="0"/>
          <w:sz w:val="28"/>
          <w:szCs w:val="28"/>
        </w:rPr>
        <w:t>Мещегаровский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r w:rsidR="00DE014F">
        <w:rPr>
          <w:sz w:val="28"/>
          <w:szCs w:val="28"/>
        </w:rPr>
        <w:t>Мещегаровский</w:t>
      </w:r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BA380E">
      <w:pPr>
        <w:pStyle w:val="ConsPlusNormal"/>
        <w:ind w:firstLine="539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A380E" w:rsidRDefault="00BA380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8"/>
      <w:bookmarkEnd w:id="0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6772"/>
      </w:tblGrid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Наименование реквизита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Значение реквизита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Наименование распоряжения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наименование распоряжения ПЛАТЕЖНОЕ ПОРУЧЕНИЕ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распоряжения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Дата составления распоряжения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Сумма прописью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Сумма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Плательщик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полное или сокращенное наименование плательщика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лицевого счета плательщика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лицевого счета плательщика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счета плательщика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ИНН плательщика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ИНН (при наличии) или КИО (при наличии) плательщика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КПП плательщика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Получатель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счета получателя средств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Банк получателя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BA380E" w:rsidTr="00BA380E">
        <w:trPr>
          <w:trHeight w:val="39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БИК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счета обслуживающей организации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ИНН получателя средств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КПП получателя средств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Очередность платежа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 xml:space="preserve">Указывается очередность платежа цифрами в соответствии с Гражданским </w:t>
            </w:r>
            <w:hyperlink r:id="rId18" w:history="1">
              <w:r w:rsidRPr="005520CE">
                <w:rPr>
                  <w:color w:val="000000" w:themeColor="text1"/>
                  <w:sz w:val="26"/>
                  <w:szCs w:val="26"/>
                </w:rPr>
                <w:t>кодексом</w:t>
              </w:r>
            </w:hyperlink>
            <w:r w:rsidRPr="005520CE">
              <w:rPr>
                <w:color w:val="000000" w:themeColor="text1"/>
                <w:sz w:val="26"/>
                <w:szCs w:val="26"/>
              </w:rPr>
              <w:t xml:space="preserve"> Российской Федерации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Назначение платежа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Уникальный идентификатор начисления, уникальный идентификатор платежа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 xml:space="preserve">Указывается уникальный идентификатор платежа в соответствии с </w:t>
            </w:r>
            <w:hyperlink r:id="rId19" w:history="1">
              <w:r w:rsidRPr="005520CE">
                <w:rPr>
                  <w:color w:val="000000" w:themeColor="text1"/>
                  <w:sz w:val="26"/>
                  <w:szCs w:val="26"/>
                </w:rPr>
                <w:t>Положением</w:t>
              </w:r>
            </w:hyperlink>
            <w:r w:rsidRPr="005520CE">
              <w:rPr>
                <w:color w:val="000000" w:themeColor="text1"/>
                <w:sz w:val="26"/>
                <w:szCs w:val="26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Учетный номер бюджетного обязательства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Код бюджетной классификации </w:t>
            </w:r>
            <w:r w:rsidRPr="00BA380E">
              <w:rPr>
                <w:sz w:val="26"/>
                <w:szCs w:val="26"/>
              </w:rPr>
              <w:lastRenderedPageBreak/>
              <w:t>(дополнительной классификации) плательщика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lastRenderedPageBreak/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Код бюджетной классификации получателя средств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Вид документа-основания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Номер документа-основания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Дата документа-основания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Предмет документа-основания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Статус плательщика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BA380E">
              <w:rPr>
                <w:sz w:val="26"/>
                <w:szCs w:val="26"/>
              </w:rPr>
              <w:t>Финансовое управление</w:t>
            </w:r>
            <w:r w:rsidRPr="00BA380E">
              <w:rPr>
                <w:sz w:val="26"/>
                <w:szCs w:val="26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</w:t>
            </w:r>
            <w:r w:rsidRPr="00BA380E">
              <w:rPr>
                <w:sz w:val="26"/>
                <w:szCs w:val="26"/>
              </w:rPr>
              <w:lastRenderedPageBreak/>
              <w:t>поручения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Код классификации доходов бюджетов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Код ОКТМО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 xml:space="preserve">Указывается код по Общероссийскому </w:t>
            </w:r>
            <w:hyperlink r:id="rId20" w:history="1">
              <w:r w:rsidRPr="005520CE">
                <w:rPr>
                  <w:color w:val="000000" w:themeColor="text1"/>
                  <w:sz w:val="26"/>
                  <w:szCs w:val="26"/>
                </w:rPr>
                <w:t>классификатору</w:t>
              </w:r>
            </w:hyperlink>
            <w:r w:rsidRPr="005520CE">
              <w:rPr>
                <w:color w:val="000000" w:themeColor="text1"/>
                <w:sz w:val="26"/>
                <w:szCs w:val="26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Вид реестра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Указывается код вида реестра:</w:t>
            </w:r>
          </w:p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"02" - Реестр контрактов, заключенных заказчиками;</w:t>
            </w:r>
          </w:p>
          <w:p w:rsidR="00374918" w:rsidRPr="005520CE" w:rsidRDefault="00374918" w:rsidP="00C658F1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5520CE">
              <w:rPr>
                <w:color w:val="000000" w:themeColor="text1"/>
                <w:sz w:val="26"/>
                <w:szCs w:val="26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Уникальный номер реестровой записи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</w:t>
            </w:r>
            <w:proofErr w:type="gramStart"/>
            <w:r w:rsidRPr="00BA380E">
              <w:rPr>
                <w:sz w:val="26"/>
                <w:szCs w:val="26"/>
              </w:rPr>
              <w:t>47, в случае, если</w:t>
            </w:r>
            <w:proofErr w:type="gramEnd"/>
            <w:r w:rsidRPr="00BA380E">
              <w:rPr>
                <w:sz w:val="26"/>
                <w:szCs w:val="26"/>
              </w:rPr>
              <w:t xml:space="preserve"> в реквизите 46 указано значение "02"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Код выплат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1" w:history="1">
              <w:r w:rsidRPr="00BA380E">
                <w:rPr>
                  <w:color w:val="0000FF"/>
                  <w:sz w:val="26"/>
                  <w:szCs w:val="26"/>
                </w:rPr>
                <w:t>частями 5.5</w:t>
              </w:r>
            </w:hyperlink>
            <w:r w:rsidRPr="00BA380E">
              <w:rPr>
                <w:sz w:val="26"/>
                <w:szCs w:val="26"/>
              </w:rPr>
              <w:t xml:space="preserve"> и </w:t>
            </w:r>
            <w:hyperlink r:id="rId22" w:history="1">
              <w:r w:rsidRPr="00BA380E">
                <w:rPr>
                  <w:color w:val="0000FF"/>
                  <w:sz w:val="26"/>
                  <w:szCs w:val="26"/>
                </w:rPr>
                <w:t>5.6 статьи 30.5</w:t>
              </w:r>
            </w:hyperlink>
            <w:r w:rsidRPr="00BA380E">
              <w:rPr>
                <w:sz w:val="26"/>
                <w:szCs w:val="26"/>
              </w:rPr>
              <w:t xml:space="preserve"> Федерального 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НДС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ставка налога на добавленную стоимость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Должность руководителя (уполномоченного им лица)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Подпись руководителя (уполномоченного им лица)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Должность ответственного исполнителя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ФИО (отчество при наличии) ответственного исполнителя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BA380E" w:rsidTr="00BA380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М.П.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Место для оттиска печати плательщика.</w:t>
            </w:r>
          </w:p>
          <w:p w:rsidR="00374918" w:rsidRPr="00BA380E" w:rsidRDefault="00374918" w:rsidP="00C658F1">
            <w:pPr>
              <w:pStyle w:val="ConsPlusNormal"/>
              <w:jc w:val="both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DE014F">
        <w:rPr>
          <w:sz w:val="28"/>
          <w:szCs w:val="28"/>
        </w:rPr>
        <w:t>Мещегаровский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96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7247"/>
      </w:tblGrid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Наименование реквизита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jc w:val="center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Правила формирования, заполнения реквизита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1. Номер документа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2. Дата документа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3. Наименование клиента -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полное или сокращенное наименование клиента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4. Код по Сводному реестру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уникальный код в соответствии со Сводным реестром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5. Номер лицевого счета клиента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лицевого счета клиента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6. Наименование </w:t>
            </w:r>
            <w:r w:rsidR="00D862FA" w:rsidRPr="00BA380E">
              <w:rPr>
                <w:sz w:val="26"/>
                <w:szCs w:val="26"/>
              </w:rPr>
              <w:t xml:space="preserve">бюджета сельского поселения </w:t>
            </w:r>
            <w:r w:rsidR="00DE014F" w:rsidRPr="00BA380E">
              <w:rPr>
                <w:sz w:val="26"/>
                <w:szCs w:val="26"/>
              </w:rPr>
              <w:t>Мещегаровский</w:t>
            </w:r>
            <w:r w:rsidR="00D862FA" w:rsidRPr="00BA380E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Указывается наименование соответствующего </w:t>
            </w:r>
            <w:r w:rsidR="00D862FA" w:rsidRPr="00BA380E">
              <w:rPr>
                <w:sz w:val="26"/>
                <w:szCs w:val="26"/>
              </w:rPr>
              <w:t xml:space="preserve">бюджета сельского поселения </w:t>
            </w:r>
            <w:r w:rsidR="00DE014F" w:rsidRPr="00BA380E">
              <w:rPr>
                <w:sz w:val="26"/>
                <w:szCs w:val="26"/>
              </w:rPr>
              <w:t>Мещегаровский</w:t>
            </w:r>
            <w:r w:rsidR="00D862FA" w:rsidRPr="00BA380E">
              <w:rPr>
                <w:sz w:val="26"/>
                <w:szCs w:val="26"/>
              </w:rPr>
              <w:t xml:space="preserve"> сельсовет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7. Аналитический код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BA380E" w:rsidRDefault="00374918" w:rsidP="00A94172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- для оплаты денежных обязательств получателей средств </w:t>
            </w:r>
            <w:r w:rsidR="00A94172" w:rsidRPr="00BA380E">
              <w:rPr>
                <w:sz w:val="26"/>
                <w:szCs w:val="26"/>
              </w:rPr>
              <w:t xml:space="preserve">бюджета, </w:t>
            </w:r>
            <w:r w:rsidRPr="00BA380E">
              <w:rPr>
                <w:sz w:val="26"/>
                <w:szCs w:val="26"/>
              </w:rPr>
              <w:t xml:space="preserve">в целях софинансирования которых предоставляются межбюджетные трансферты из федерального </w:t>
            </w:r>
            <w:r w:rsidR="00D862FA" w:rsidRPr="00BA380E">
              <w:rPr>
                <w:sz w:val="26"/>
                <w:szCs w:val="26"/>
              </w:rPr>
              <w:t xml:space="preserve">бюджета </w:t>
            </w:r>
            <w:r w:rsidRPr="00BA380E">
              <w:rPr>
                <w:sz w:val="26"/>
                <w:szCs w:val="26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8. Вид документа-основания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вид документа-основания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9. Номер документа-основания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документа-основания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lastRenderedPageBreak/>
              <w:t>10. Дата документа-основания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дата документа-основания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11. Порядковый номер строки соответствующей выплаты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12. Номер банковской карты "Мир"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13. Дата рождения получателя денежных средств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14. Код вида выплаты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код вида выплаты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15. Сумма выплаты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16. Код вида дохода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Указывается соответствующий код вида дохода в соответствии с Федеральным </w:t>
            </w:r>
            <w:hyperlink r:id="rId23" w:history="1">
              <w:r w:rsidRPr="00BA380E">
                <w:rPr>
                  <w:color w:val="0000FF"/>
                  <w:sz w:val="26"/>
                  <w:szCs w:val="26"/>
                </w:rPr>
                <w:t>законом</w:t>
              </w:r>
            </w:hyperlink>
            <w:r w:rsidRPr="00BA380E">
              <w:rPr>
                <w:sz w:val="26"/>
                <w:szCs w:val="26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4" w:history="1">
              <w:r w:rsidRPr="00BA380E">
                <w:rPr>
                  <w:color w:val="0000FF"/>
                  <w:sz w:val="26"/>
                  <w:szCs w:val="26"/>
                </w:rPr>
                <w:t>Положением</w:t>
              </w:r>
            </w:hyperlink>
            <w:r w:rsidRPr="00BA380E">
              <w:rPr>
                <w:sz w:val="26"/>
                <w:szCs w:val="26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17. Сумма, взысканная по исполнительному документу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5" w:history="1">
              <w:r w:rsidRPr="00BA380E">
                <w:rPr>
                  <w:color w:val="0000FF"/>
                  <w:sz w:val="26"/>
                  <w:szCs w:val="26"/>
                </w:rPr>
                <w:t>законом</w:t>
              </w:r>
            </w:hyperlink>
            <w:r w:rsidRPr="00BA380E">
              <w:rPr>
                <w:sz w:val="26"/>
                <w:szCs w:val="26"/>
              </w:rPr>
              <w:t xml:space="preserve"> "Об исполнительном производстве"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18. Код (коды) бюджетной классификации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BA380E">
              <w:rPr>
                <w:sz w:val="26"/>
                <w:szCs w:val="26"/>
              </w:rPr>
              <w:t>ются</w:t>
            </w:r>
            <w:proofErr w:type="spellEnd"/>
            <w:r w:rsidRPr="00BA380E">
              <w:rPr>
                <w:sz w:val="26"/>
                <w:szCs w:val="26"/>
              </w:rPr>
              <w:t>) выплаты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19. Сумма по коду бюджетной классификации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20. Сумма итого по коду бюджетной классификации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BA380E" w:rsidTr="00BA380E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21. Сумма всего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BA380E" w:rsidRDefault="00374918" w:rsidP="00C658F1">
            <w:pPr>
              <w:pStyle w:val="ConsPlusNormal"/>
              <w:rPr>
                <w:sz w:val="26"/>
                <w:szCs w:val="26"/>
              </w:rPr>
            </w:pPr>
            <w:r w:rsidRPr="00BA380E">
              <w:rPr>
                <w:sz w:val="26"/>
                <w:szCs w:val="26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 w:rsidSect="00BA380E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18"/>
    <w:rsid w:val="00022D12"/>
    <w:rsid w:val="001707FC"/>
    <w:rsid w:val="00180B92"/>
    <w:rsid w:val="001D44FA"/>
    <w:rsid w:val="002815E3"/>
    <w:rsid w:val="002E433A"/>
    <w:rsid w:val="00342E38"/>
    <w:rsid w:val="00344FE4"/>
    <w:rsid w:val="00350BBF"/>
    <w:rsid w:val="00374918"/>
    <w:rsid w:val="00435544"/>
    <w:rsid w:val="0047524F"/>
    <w:rsid w:val="004902CC"/>
    <w:rsid w:val="004F16AE"/>
    <w:rsid w:val="005520CE"/>
    <w:rsid w:val="0056703B"/>
    <w:rsid w:val="005A3ACF"/>
    <w:rsid w:val="005D6374"/>
    <w:rsid w:val="00663E45"/>
    <w:rsid w:val="00763734"/>
    <w:rsid w:val="00780A41"/>
    <w:rsid w:val="007C0289"/>
    <w:rsid w:val="007D4805"/>
    <w:rsid w:val="0085263D"/>
    <w:rsid w:val="008C6BC8"/>
    <w:rsid w:val="008C7EE2"/>
    <w:rsid w:val="008F6BE3"/>
    <w:rsid w:val="0096408E"/>
    <w:rsid w:val="009C2251"/>
    <w:rsid w:val="00A55AC0"/>
    <w:rsid w:val="00A94172"/>
    <w:rsid w:val="00AA32C2"/>
    <w:rsid w:val="00AB058F"/>
    <w:rsid w:val="00AC18AA"/>
    <w:rsid w:val="00B06271"/>
    <w:rsid w:val="00B1060A"/>
    <w:rsid w:val="00B63A5F"/>
    <w:rsid w:val="00B919EE"/>
    <w:rsid w:val="00BA380E"/>
    <w:rsid w:val="00BE424A"/>
    <w:rsid w:val="00C1288A"/>
    <w:rsid w:val="00C13093"/>
    <w:rsid w:val="00C3142B"/>
    <w:rsid w:val="00C87000"/>
    <w:rsid w:val="00D862FA"/>
    <w:rsid w:val="00DD44C5"/>
    <w:rsid w:val="00DE014F"/>
    <w:rsid w:val="00E50CF5"/>
    <w:rsid w:val="00F16BE5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57C6"/>
  <w15:chartTrackingRefBased/>
  <w15:docId w15:val="{81A622D6-D2B6-4055-8867-5F50AD8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  <w:style w:type="paragraph" w:styleId="a5">
    <w:name w:val="No Spacing"/>
    <w:link w:val="a6"/>
    <w:qFormat/>
    <w:rsid w:val="00DE0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E014F"/>
    <w:pPr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E01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link w:val="a5"/>
    <w:rsid w:val="00DE0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440&amp;date=05.11.2024&amp;dst=100100&amp;field=134" TargetMode="External"/><Relationship Id="rId13" Type="http://schemas.openxmlformats.org/officeDocument/2006/relationships/hyperlink" Target="https://login.consultant.ru/link/?req=doc&amp;base=LAW&amp;n=469774&amp;date=05.11.2024" TargetMode="External"/><Relationship Id="rId18" Type="http://schemas.openxmlformats.org/officeDocument/2006/relationships/hyperlink" Target="https://login.consultant.ru/link/?req=doc&amp;base=LAW&amp;n=449455&amp;date=05.11.2024&amp;dst=335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8&amp;date=05.11.2024&amp;dst=136&amp;field=134" TargetMode="External"/><Relationship Id="rId7" Type="http://schemas.openxmlformats.org/officeDocument/2006/relationships/hyperlink" Target="https://login.consultant.ru/link/?req=doc&amp;base=LAW&amp;n=469774&amp;date=05.11.2024&amp;dst=103362&amp;field=134" TargetMode="External"/><Relationship Id="rId12" Type="http://schemas.openxmlformats.org/officeDocument/2006/relationships/hyperlink" Target="https://login.consultant.ru/link/?req=doc&amp;base=LAW&amp;n=469774&amp;date=05.11.2024&amp;dst=6246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82652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69936&amp;date=05.11.2024&amp;dst=100013&amp;field=134" TargetMode="External"/><Relationship Id="rId20" Type="http://schemas.openxmlformats.org/officeDocument/2006/relationships/hyperlink" Target="https://login.consultant.ru/link/?req=doc&amp;base=LAW&amp;n=149911&amp;date=05.11.2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4&amp;date=05.11.2024&amp;dst=3654&amp;field=134" TargetMode="External"/><Relationship Id="rId11" Type="http://schemas.openxmlformats.org/officeDocument/2006/relationships/hyperlink" Target="https://login.consultant.ru/link/?req=doc&amp;base=RLAW140&amp;n=169440&amp;date=05.11.2024&amp;dst=100100&amp;field=134" TargetMode="External"/><Relationship Id="rId24" Type="http://schemas.openxmlformats.org/officeDocument/2006/relationships/hyperlink" Target="https://login.consultant.ru/link/?req=doc&amp;base=LAW&amp;n=454573&amp;date=05.11.20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810&amp;date=05.11.2024" TargetMode="External"/><Relationship Id="rId23" Type="http://schemas.openxmlformats.org/officeDocument/2006/relationships/hyperlink" Target="https://login.consultant.ru/link/?req=doc&amp;base=LAW&amp;n=482652&amp;date=05.11.2024" TargetMode="External"/><Relationship Id="rId10" Type="http://schemas.openxmlformats.org/officeDocument/2006/relationships/hyperlink" Target="https://login.consultant.ru/link/?req=doc&amp;base=LAW&amp;n=469774&amp;date=05.11.2024&amp;dst=103362&amp;field=134" TargetMode="External"/><Relationship Id="rId19" Type="http://schemas.openxmlformats.org/officeDocument/2006/relationships/hyperlink" Target="https://login.consultant.ru/link/?req=doc&amp;base=LAW&amp;n=454573&amp;date=05.11.2024&amp;dst=10007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3654&amp;field=134" TargetMode="External"/><Relationship Id="rId14" Type="http://schemas.openxmlformats.org/officeDocument/2006/relationships/hyperlink" Target="https://login.consultant.ru/link/?req=doc&amp;base=LAW&amp;n=454573&amp;date=05.11.2024" TargetMode="External"/><Relationship Id="rId22" Type="http://schemas.openxmlformats.org/officeDocument/2006/relationships/hyperlink" Target="https://login.consultant.ru/link/?req=doc&amp;base=LAW&amp;n=482738&amp;date=05.11.2024&amp;dst=218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CA07-1823-4BF8-B22C-487C096A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4583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38</cp:revision>
  <cp:lastPrinted>2024-12-23T10:02:00Z</cp:lastPrinted>
  <dcterms:created xsi:type="dcterms:W3CDTF">2024-11-05T10:04:00Z</dcterms:created>
  <dcterms:modified xsi:type="dcterms:W3CDTF">2025-04-09T05:52:00Z</dcterms:modified>
</cp:coreProperties>
</file>